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A9" w:rsidRDefault="00D44DA9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-320040</wp:posOffset>
            </wp:positionV>
            <wp:extent cx="720090" cy="866775"/>
            <wp:effectExtent l="19050" t="0" r="3810" b="0"/>
            <wp:wrapSquare wrapText="bothSides"/>
            <wp:docPr id="2" name="Рисунок 2" descr="Герб ППО (вектор) черная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 2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DA9" w:rsidRDefault="00D44DA9"/>
    <w:p w:rsidR="00D44DA9" w:rsidRDefault="00D44DA9"/>
    <w:p w:rsidR="00D44DA9" w:rsidRDefault="00D44DA9"/>
    <w:p w:rsidR="00D44DA9" w:rsidRDefault="00D44DA9"/>
    <w:tbl>
      <w:tblPr>
        <w:tblpPr w:leftFromText="180" w:rightFromText="180" w:vertAnchor="text" w:horzAnchor="margin" w:tblpXSpec="center" w:tblpY="132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3B7B2F" w:rsidRPr="008B369C" w:rsidTr="00FF07DF">
        <w:tc>
          <w:tcPr>
            <w:tcW w:w="9720" w:type="dxa"/>
          </w:tcPr>
          <w:p w:rsidR="003B7B2F" w:rsidRPr="00D44DA9" w:rsidRDefault="00DF3BE8" w:rsidP="00DF3BE8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АДМИНИСТРАЦИЯ ВИЛЯЙСКОГО</w:t>
            </w:r>
            <w:r w:rsidR="003B7B2F" w:rsidRPr="00D44DA9">
              <w:rPr>
                <w:rFonts w:ascii="Times New Roman" w:hAnsi="Times New Roman" w:cs="Times New Roman"/>
                <w:sz w:val="36"/>
                <w:szCs w:val="36"/>
              </w:rPr>
              <w:t xml:space="preserve"> СЕЛЬСОВЕТА</w:t>
            </w:r>
          </w:p>
        </w:tc>
      </w:tr>
      <w:tr w:rsidR="003B7B2F" w:rsidRPr="008B369C" w:rsidTr="00FF07DF">
        <w:trPr>
          <w:trHeight w:val="397"/>
        </w:trPr>
        <w:tc>
          <w:tcPr>
            <w:tcW w:w="9720" w:type="dxa"/>
            <w:vAlign w:val="center"/>
            <w:hideMark/>
          </w:tcPr>
          <w:p w:rsidR="003B7B2F" w:rsidRPr="00D44DA9" w:rsidRDefault="003B7B2F" w:rsidP="00D44DA9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44DA9">
              <w:rPr>
                <w:rFonts w:ascii="Times New Roman" w:hAnsi="Times New Roman" w:cs="Times New Roman"/>
                <w:sz w:val="36"/>
                <w:szCs w:val="36"/>
              </w:rPr>
              <w:t>НАРОВЧАТСКОГО РАЙОНА ПЕНЗЕНСКОЙ ОБЛАСТИ</w:t>
            </w:r>
          </w:p>
        </w:tc>
      </w:tr>
      <w:tr w:rsidR="003B7B2F" w:rsidRPr="008B369C" w:rsidTr="00FF07DF">
        <w:trPr>
          <w:trHeight w:val="542"/>
        </w:trPr>
        <w:tc>
          <w:tcPr>
            <w:tcW w:w="9720" w:type="dxa"/>
            <w:vAlign w:val="center"/>
            <w:hideMark/>
          </w:tcPr>
          <w:p w:rsidR="00D44DA9" w:rsidRDefault="00D44DA9" w:rsidP="00D44DA9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44DA9" w:rsidRDefault="00D44DA9" w:rsidP="00D44DA9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B7B2F" w:rsidRPr="00D44DA9" w:rsidRDefault="00DF3BE8" w:rsidP="00DF3BE8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ПОСТАНОВЛЕНИЕ</w:t>
            </w:r>
          </w:p>
        </w:tc>
      </w:tr>
    </w:tbl>
    <w:tbl>
      <w:tblPr>
        <w:tblpPr w:leftFromText="180" w:rightFromText="180" w:vertAnchor="text" w:horzAnchor="page" w:tblpXSpec="center" w:tblpY="-25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92"/>
        <w:gridCol w:w="2918"/>
        <w:gridCol w:w="409"/>
        <w:gridCol w:w="1167"/>
      </w:tblGrid>
      <w:tr w:rsidR="003B7B2F" w:rsidRPr="008B369C" w:rsidTr="00D44DA9">
        <w:trPr>
          <w:trHeight w:val="266"/>
        </w:trPr>
        <w:tc>
          <w:tcPr>
            <w:tcW w:w="292" w:type="dxa"/>
            <w:vAlign w:val="bottom"/>
            <w:hideMark/>
          </w:tcPr>
          <w:p w:rsidR="003B7B2F" w:rsidRPr="008B369C" w:rsidRDefault="00D44DA9" w:rsidP="00FF07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</w:t>
            </w:r>
            <w:r w:rsidR="003B7B2F" w:rsidRPr="008B369C">
              <w:rPr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7B2F" w:rsidRPr="008B369C" w:rsidRDefault="003B7B2F" w:rsidP="00FF07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09" w:type="dxa"/>
            <w:vAlign w:val="bottom"/>
            <w:hideMark/>
          </w:tcPr>
          <w:p w:rsidR="003B7B2F" w:rsidRPr="008B369C" w:rsidRDefault="003B7B2F" w:rsidP="00FF07D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B369C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7B2F" w:rsidRPr="008B369C" w:rsidRDefault="003B7B2F" w:rsidP="00FF07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B7B2F" w:rsidRPr="008B369C" w:rsidTr="00D44DA9">
        <w:trPr>
          <w:trHeight w:val="278"/>
        </w:trPr>
        <w:tc>
          <w:tcPr>
            <w:tcW w:w="4785" w:type="dxa"/>
            <w:gridSpan w:val="4"/>
          </w:tcPr>
          <w:p w:rsidR="003B7B2F" w:rsidRPr="00D44DA9" w:rsidRDefault="003B7B2F" w:rsidP="00D44DA9">
            <w:pPr>
              <w:jc w:val="center"/>
              <w:rPr>
                <w:color w:val="000000" w:themeColor="text1"/>
              </w:rPr>
            </w:pPr>
            <w:r w:rsidRPr="00D44DA9">
              <w:rPr>
                <w:color w:val="000000" w:themeColor="text1"/>
              </w:rPr>
              <w:t xml:space="preserve">с. </w:t>
            </w:r>
            <w:r w:rsidR="00D44DA9" w:rsidRPr="00D44DA9">
              <w:rPr>
                <w:color w:val="000000" w:themeColor="text1"/>
              </w:rPr>
              <w:t>Виляйки</w:t>
            </w:r>
          </w:p>
        </w:tc>
      </w:tr>
      <w:tr w:rsidR="003B7B2F" w:rsidRPr="008B369C" w:rsidTr="00D44DA9">
        <w:trPr>
          <w:trHeight w:val="67"/>
        </w:trPr>
        <w:tc>
          <w:tcPr>
            <w:tcW w:w="4785" w:type="dxa"/>
            <w:gridSpan w:val="4"/>
          </w:tcPr>
          <w:p w:rsidR="003B7B2F" w:rsidRPr="008B369C" w:rsidRDefault="003B7B2F" w:rsidP="0026082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C3F98" w:rsidRPr="008B369C" w:rsidRDefault="00DC3F98" w:rsidP="00260820">
      <w:pPr>
        <w:jc w:val="both"/>
        <w:rPr>
          <w:color w:val="7030A0"/>
          <w:sz w:val="28"/>
          <w:szCs w:val="28"/>
        </w:rPr>
      </w:pPr>
    </w:p>
    <w:p w:rsidR="003B7B2F" w:rsidRPr="008B369C" w:rsidRDefault="003B7B2F" w:rsidP="00260820">
      <w:pPr>
        <w:jc w:val="both"/>
        <w:rPr>
          <w:color w:val="7030A0"/>
          <w:sz w:val="28"/>
          <w:szCs w:val="28"/>
        </w:rPr>
      </w:pPr>
    </w:p>
    <w:p w:rsidR="003B7B2F" w:rsidRPr="008B369C" w:rsidRDefault="003B7B2F" w:rsidP="00260820">
      <w:pPr>
        <w:jc w:val="both"/>
        <w:rPr>
          <w:sz w:val="28"/>
          <w:szCs w:val="28"/>
        </w:rPr>
      </w:pPr>
    </w:p>
    <w:p w:rsidR="00A04607" w:rsidRPr="008B369C" w:rsidRDefault="00D44DA9" w:rsidP="008B369C">
      <w:pPr>
        <w:spacing w:before="240" w:after="60"/>
        <w:ind w:firstLine="567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О</w:t>
      </w:r>
      <w:r w:rsidR="00A04607" w:rsidRPr="008B369C">
        <w:rPr>
          <w:rFonts w:eastAsia="Times New Roman"/>
          <w:b/>
          <w:bCs/>
          <w:color w:val="000000"/>
          <w:sz w:val="28"/>
          <w:szCs w:val="28"/>
        </w:rPr>
        <w:t xml:space="preserve"> внесении изменений в постановление администрации </w:t>
      </w:r>
      <w:r w:rsidRPr="00D44DA9">
        <w:rPr>
          <w:rFonts w:eastAsia="Times New Roman"/>
          <w:b/>
          <w:bCs/>
          <w:sz w:val="28"/>
          <w:szCs w:val="28"/>
        </w:rPr>
        <w:t>Виляйского</w:t>
      </w:r>
      <w:r w:rsidR="00A04607" w:rsidRPr="00D44DA9">
        <w:rPr>
          <w:rFonts w:eastAsia="Times New Roman"/>
          <w:b/>
          <w:bCs/>
          <w:sz w:val="28"/>
          <w:szCs w:val="28"/>
        </w:rPr>
        <w:t xml:space="preserve"> </w:t>
      </w:r>
      <w:r w:rsidR="00A04607" w:rsidRPr="008B369C">
        <w:rPr>
          <w:rFonts w:eastAsia="Times New Roman"/>
          <w:b/>
          <w:bCs/>
          <w:color w:val="000000"/>
          <w:sz w:val="28"/>
          <w:szCs w:val="28"/>
        </w:rPr>
        <w:t>сельсовета Наровчатского района Пензенской области от 1</w:t>
      </w:r>
      <w:r w:rsidR="00DF3BE8">
        <w:rPr>
          <w:rFonts w:eastAsia="Times New Roman"/>
          <w:b/>
          <w:bCs/>
          <w:color w:val="000000"/>
          <w:sz w:val="28"/>
          <w:szCs w:val="28"/>
        </w:rPr>
        <w:t>0</w:t>
      </w:r>
      <w:r w:rsidR="00A04607" w:rsidRPr="008B369C">
        <w:rPr>
          <w:rFonts w:eastAsia="Times New Roman"/>
          <w:b/>
          <w:bCs/>
          <w:color w:val="000000"/>
          <w:sz w:val="28"/>
          <w:szCs w:val="28"/>
        </w:rPr>
        <w:t>.07.2018 № 2</w:t>
      </w:r>
      <w:r w:rsidR="00DF3BE8">
        <w:rPr>
          <w:rFonts w:eastAsia="Times New Roman"/>
          <w:b/>
          <w:bCs/>
          <w:color w:val="000000"/>
          <w:sz w:val="28"/>
          <w:szCs w:val="28"/>
        </w:rPr>
        <w:t>7</w:t>
      </w:r>
    </w:p>
    <w:p w:rsidR="00C44615" w:rsidRPr="008B369C" w:rsidRDefault="00C44615" w:rsidP="008B369C">
      <w:pPr>
        <w:jc w:val="both"/>
        <w:rPr>
          <w:sz w:val="28"/>
          <w:szCs w:val="28"/>
        </w:rPr>
      </w:pPr>
    </w:p>
    <w:p w:rsidR="00A04607" w:rsidRPr="00D44DA9" w:rsidRDefault="00A04607" w:rsidP="008B369C">
      <w:pPr>
        <w:ind w:firstLine="709"/>
        <w:jc w:val="both"/>
        <w:rPr>
          <w:sz w:val="28"/>
          <w:szCs w:val="28"/>
        </w:rPr>
      </w:pPr>
      <w:proofErr w:type="gramStart"/>
      <w:r w:rsidRPr="008B369C">
        <w:rPr>
          <w:sz w:val="28"/>
          <w:szCs w:val="28"/>
        </w:rPr>
        <w:t>В соответствии с частью 20 статьи 45, статьей 46 Градостроительного кодекса Российской Федерации, пунктом 20 части 1 и частью 3 статьи 14 Федерального закона от 06.10.2003 № 131-ФЗ «Об общих принципах организации местного самоуправления в Российской Федерации», Законом Пензенской области от 16.10.2014 № 2626-ЗПО «О закреплении отдельных вопросов местного значения за сельскими поселениями Пензенской области», статьей 2</w:t>
      </w:r>
      <w:r w:rsidR="00DF3BE8">
        <w:rPr>
          <w:sz w:val="28"/>
          <w:szCs w:val="28"/>
        </w:rPr>
        <w:t>3</w:t>
      </w:r>
      <w:r w:rsidRPr="008B369C">
        <w:rPr>
          <w:sz w:val="28"/>
          <w:szCs w:val="28"/>
        </w:rPr>
        <w:t xml:space="preserve"> Устава </w:t>
      </w:r>
      <w:r w:rsidR="00D44DA9" w:rsidRPr="00D44DA9">
        <w:rPr>
          <w:sz w:val="28"/>
          <w:szCs w:val="28"/>
        </w:rPr>
        <w:t>Виляйского</w:t>
      </w:r>
      <w:r w:rsidRPr="00D44DA9">
        <w:rPr>
          <w:sz w:val="28"/>
          <w:szCs w:val="28"/>
        </w:rPr>
        <w:t xml:space="preserve"> сельсовета Наровчатского района</w:t>
      </w:r>
      <w:proofErr w:type="gramEnd"/>
      <w:r w:rsidRPr="00D44DA9">
        <w:rPr>
          <w:sz w:val="28"/>
          <w:szCs w:val="28"/>
        </w:rPr>
        <w:t xml:space="preserve"> Пензенской области, решением Комитета местного самоуправления </w:t>
      </w:r>
      <w:r w:rsidR="00D44DA9" w:rsidRPr="00D44DA9">
        <w:rPr>
          <w:sz w:val="28"/>
          <w:szCs w:val="28"/>
        </w:rPr>
        <w:t>Виляйского</w:t>
      </w:r>
      <w:r w:rsidRPr="00D44DA9">
        <w:rPr>
          <w:sz w:val="28"/>
          <w:szCs w:val="28"/>
        </w:rPr>
        <w:t xml:space="preserve"> сельсовета Наровчатског</w:t>
      </w:r>
      <w:r w:rsidR="00DF3BE8">
        <w:rPr>
          <w:sz w:val="28"/>
          <w:szCs w:val="28"/>
        </w:rPr>
        <w:t>о района Пензенской области от 06</w:t>
      </w:r>
      <w:r w:rsidRPr="00D44DA9">
        <w:rPr>
          <w:sz w:val="28"/>
          <w:szCs w:val="28"/>
        </w:rPr>
        <w:t>.07.2018 № 3</w:t>
      </w:r>
      <w:r w:rsidR="00DF3BE8">
        <w:rPr>
          <w:sz w:val="28"/>
          <w:szCs w:val="28"/>
        </w:rPr>
        <w:t>4</w:t>
      </w:r>
      <w:r w:rsidRPr="00D44DA9">
        <w:rPr>
          <w:sz w:val="28"/>
          <w:szCs w:val="28"/>
        </w:rPr>
        <w:t>1-1</w:t>
      </w:r>
      <w:r w:rsidR="00DF3BE8">
        <w:rPr>
          <w:sz w:val="28"/>
          <w:szCs w:val="28"/>
        </w:rPr>
        <w:t>2</w:t>
      </w:r>
      <w:r w:rsidRPr="00D44DA9">
        <w:rPr>
          <w:sz w:val="28"/>
          <w:szCs w:val="28"/>
        </w:rPr>
        <w:t>5/6,</w:t>
      </w:r>
    </w:p>
    <w:p w:rsidR="00A04607" w:rsidRPr="00D44DA9" w:rsidRDefault="00A04607" w:rsidP="008B369C">
      <w:pPr>
        <w:jc w:val="both"/>
        <w:rPr>
          <w:sz w:val="28"/>
          <w:szCs w:val="28"/>
        </w:rPr>
      </w:pPr>
    </w:p>
    <w:p w:rsidR="00A04607" w:rsidRPr="008B369C" w:rsidRDefault="00A04607" w:rsidP="008B369C">
      <w:pPr>
        <w:jc w:val="center"/>
        <w:rPr>
          <w:sz w:val="28"/>
          <w:szCs w:val="28"/>
        </w:rPr>
      </w:pPr>
      <w:r w:rsidRPr="00D44DA9">
        <w:rPr>
          <w:sz w:val="28"/>
          <w:szCs w:val="28"/>
        </w:rPr>
        <w:t xml:space="preserve">администрация </w:t>
      </w:r>
      <w:r w:rsidR="00D44DA9" w:rsidRPr="00D44DA9">
        <w:rPr>
          <w:sz w:val="28"/>
          <w:szCs w:val="28"/>
        </w:rPr>
        <w:t>Виляйского</w:t>
      </w:r>
      <w:r w:rsidRPr="00D44DA9">
        <w:rPr>
          <w:sz w:val="28"/>
          <w:szCs w:val="28"/>
        </w:rPr>
        <w:t xml:space="preserve"> сельсовета</w:t>
      </w:r>
      <w:r w:rsidRPr="008B369C">
        <w:rPr>
          <w:sz w:val="28"/>
          <w:szCs w:val="28"/>
        </w:rPr>
        <w:t xml:space="preserve"> Наровчатского района Пензенской области постановляет:</w:t>
      </w:r>
    </w:p>
    <w:p w:rsidR="00E33117" w:rsidRPr="00D44DA9" w:rsidRDefault="00A04607" w:rsidP="008B369C">
      <w:pPr>
        <w:pStyle w:val="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6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Внести в </w:t>
      </w:r>
      <w:r w:rsidR="00E33117" w:rsidRPr="008B369C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порядок подготовки</w:t>
      </w:r>
      <w:r w:rsidR="00E33117" w:rsidRPr="008B369C">
        <w:rPr>
          <w:rFonts w:ascii="Times New Roman" w:hAnsi="Times New Roman" w:cs="Times New Roman"/>
          <w:b w:val="0"/>
          <w:sz w:val="28"/>
          <w:szCs w:val="28"/>
        </w:rPr>
        <w:t xml:space="preserve"> документации по планировке территории </w:t>
      </w:r>
      <w:r w:rsidR="00D44DA9" w:rsidRPr="00D44DA9">
        <w:rPr>
          <w:rFonts w:ascii="Times New Roman" w:hAnsi="Times New Roman" w:cs="Times New Roman"/>
          <w:b w:val="0"/>
          <w:sz w:val="28"/>
          <w:szCs w:val="28"/>
        </w:rPr>
        <w:t>Виляйского</w:t>
      </w:r>
      <w:r w:rsidR="00E33117" w:rsidRPr="00D44DA9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Наровчатского района Пензенской области и принятия решения об утверждении документации по планировке территории </w:t>
      </w:r>
      <w:r w:rsidR="00D44DA9" w:rsidRPr="00D44DA9">
        <w:rPr>
          <w:rFonts w:ascii="Times New Roman" w:hAnsi="Times New Roman" w:cs="Times New Roman"/>
          <w:b w:val="0"/>
          <w:sz w:val="28"/>
          <w:szCs w:val="28"/>
        </w:rPr>
        <w:t>Виляйского</w:t>
      </w:r>
      <w:r w:rsidR="00E33117" w:rsidRPr="00D44DA9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Наровчатского района Пензенской области, утвержденный постановлением </w:t>
      </w:r>
      <w:r w:rsidRPr="00D44DA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D44DA9" w:rsidRPr="00D44DA9">
        <w:rPr>
          <w:rFonts w:ascii="Times New Roman" w:hAnsi="Times New Roman" w:cs="Times New Roman"/>
          <w:b w:val="0"/>
          <w:sz w:val="28"/>
          <w:szCs w:val="28"/>
        </w:rPr>
        <w:t>Виляйского</w:t>
      </w:r>
      <w:r w:rsidRPr="00D44DA9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Наровчатского района Пензенской области </w:t>
      </w:r>
      <w:r w:rsidR="00E33117" w:rsidRPr="00D44DA9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DF3BE8">
        <w:rPr>
          <w:rFonts w:ascii="Times New Roman" w:hAnsi="Times New Roman" w:cs="Times New Roman"/>
          <w:b w:val="0"/>
          <w:sz w:val="28"/>
          <w:szCs w:val="28"/>
        </w:rPr>
        <w:t>0</w:t>
      </w:r>
      <w:r w:rsidR="00E33117" w:rsidRPr="00D44DA9">
        <w:rPr>
          <w:rFonts w:ascii="Times New Roman" w:hAnsi="Times New Roman" w:cs="Times New Roman"/>
          <w:b w:val="0"/>
          <w:sz w:val="28"/>
          <w:szCs w:val="28"/>
        </w:rPr>
        <w:t>.0</w:t>
      </w:r>
      <w:r w:rsidR="00DF3BE8">
        <w:rPr>
          <w:rFonts w:ascii="Times New Roman" w:hAnsi="Times New Roman" w:cs="Times New Roman"/>
          <w:b w:val="0"/>
          <w:sz w:val="28"/>
          <w:szCs w:val="28"/>
        </w:rPr>
        <w:t>7</w:t>
      </w:r>
      <w:r w:rsidR="00E33117" w:rsidRPr="00D44DA9">
        <w:rPr>
          <w:rFonts w:ascii="Times New Roman" w:hAnsi="Times New Roman" w:cs="Times New Roman"/>
          <w:b w:val="0"/>
          <w:sz w:val="28"/>
          <w:szCs w:val="28"/>
        </w:rPr>
        <w:t>.2018 № 2</w:t>
      </w:r>
      <w:r w:rsidR="00DF3BE8">
        <w:rPr>
          <w:rFonts w:ascii="Times New Roman" w:hAnsi="Times New Roman" w:cs="Times New Roman"/>
          <w:b w:val="0"/>
          <w:sz w:val="28"/>
          <w:szCs w:val="28"/>
        </w:rPr>
        <w:t>7</w:t>
      </w:r>
      <w:r w:rsidR="00E33117" w:rsidRPr="00D44DA9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3B7B2F" w:rsidRPr="008B369C" w:rsidRDefault="00991F29" w:rsidP="008B369C">
      <w:pPr>
        <w:jc w:val="both"/>
        <w:rPr>
          <w:sz w:val="28"/>
          <w:szCs w:val="28"/>
        </w:rPr>
      </w:pPr>
      <w:r w:rsidRPr="00D44DA9">
        <w:rPr>
          <w:sz w:val="28"/>
          <w:szCs w:val="28"/>
        </w:rPr>
        <w:t>1.1. В пун</w:t>
      </w:r>
      <w:r w:rsidR="006A0444" w:rsidRPr="00D44DA9">
        <w:rPr>
          <w:sz w:val="28"/>
          <w:szCs w:val="28"/>
        </w:rPr>
        <w:t>кте 14</w:t>
      </w:r>
      <w:r w:rsidRPr="00D44DA9">
        <w:rPr>
          <w:sz w:val="28"/>
          <w:szCs w:val="28"/>
        </w:rPr>
        <w:t xml:space="preserve"> порядка цифры «30»</w:t>
      </w:r>
      <w:r w:rsidRPr="008B369C">
        <w:rPr>
          <w:sz w:val="28"/>
          <w:szCs w:val="28"/>
        </w:rPr>
        <w:t xml:space="preserve"> заменить цифрами «20»;</w:t>
      </w:r>
    </w:p>
    <w:p w:rsidR="003E5237" w:rsidRPr="008B369C" w:rsidRDefault="00991F29" w:rsidP="008B369C">
      <w:pPr>
        <w:jc w:val="both"/>
        <w:rPr>
          <w:sz w:val="28"/>
          <w:szCs w:val="28"/>
        </w:rPr>
      </w:pPr>
      <w:r w:rsidRPr="008B369C">
        <w:rPr>
          <w:sz w:val="28"/>
          <w:szCs w:val="28"/>
        </w:rPr>
        <w:t xml:space="preserve">1.2. </w:t>
      </w:r>
      <w:r w:rsidR="003E5237" w:rsidRPr="008B369C">
        <w:rPr>
          <w:sz w:val="28"/>
          <w:szCs w:val="28"/>
        </w:rPr>
        <w:t>Пункт 16 изложить в следующей редакции:</w:t>
      </w:r>
    </w:p>
    <w:p w:rsidR="003E5237" w:rsidRPr="008B369C" w:rsidRDefault="003E5237" w:rsidP="008B369C">
      <w:pPr>
        <w:ind w:firstLine="473"/>
        <w:jc w:val="both"/>
        <w:rPr>
          <w:rFonts w:eastAsia="Times New Roman"/>
          <w:sz w:val="28"/>
          <w:szCs w:val="28"/>
        </w:rPr>
      </w:pPr>
      <w:r w:rsidRPr="008B369C">
        <w:rPr>
          <w:sz w:val="28"/>
          <w:szCs w:val="28"/>
        </w:rPr>
        <w:t xml:space="preserve">«16. </w:t>
      </w:r>
      <w:r w:rsidRPr="008B369C">
        <w:rPr>
          <w:rFonts w:eastAsia="Times New Roman"/>
          <w:color w:val="000000"/>
          <w:sz w:val="28"/>
          <w:szCs w:val="28"/>
        </w:rPr>
        <w:t xml:space="preserve">Организатор проведения публичных слушаний или общественных обсуждений направляет главе Администрации подготовленную документацию по планировке территории, протокол общественных обсуждений или публичных слушаний по проекту планировки территории и </w:t>
      </w:r>
      <w:r w:rsidRPr="008B369C">
        <w:rPr>
          <w:rFonts w:eastAsia="Times New Roman"/>
          <w:color w:val="000000"/>
          <w:sz w:val="28"/>
          <w:szCs w:val="28"/>
        </w:rPr>
        <w:lastRenderedPageBreak/>
        <w:t xml:space="preserve">проекту межевания территории и заключение о результатах общественных обсуждений или публичных слушаний не позднее </w:t>
      </w:r>
      <w:r w:rsidRPr="008B369C">
        <w:rPr>
          <w:rFonts w:eastAsia="Times New Roman"/>
          <w:sz w:val="28"/>
          <w:szCs w:val="28"/>
        </w:rPr>
        <w:t xml:space="preserve">чем через двадцать </w:t>
      </w:r>
      <w:r w:rsidR="007417AA" w:rsidRPr="008B369C">
        <w:rPr>
          <w:rFonts w:eastAsia="Times New Roman"/>
          <w:sz w:val="28"/>
          <w:szCs w:val="28"/>
        </w:rPr>
        <w:t xml:space="preserve">рабочих </w:t>
      </w:r>
      <w:r w:rsidRPr="008B369C">
        <w:rPr>
          <w:rFonts w:eastAsia="Times New Roman"/>
          <w:sz w:val="28"/>
          <w:szCs w:val="28"/>
        </w:rPr>
        <w:t>дней со дня их проведения».</w:t>
      </w:r>
    </w:p>
    <w:p w:rsidR="003E5237" w:rsidRPr="008B369C" w:rsidRDefault="003E5237" w:rsidP="008B369C">
      <w:pPr>
        <w:ind w:firstLine="473"/>
        <w:jc w:val="both"/>
        <w:rPr>
          <w:rFonts w:eastAsia="Times New Roman"/>
          <w:sz w:val="28"/>
          <w:szCs w:val="28"/>
        </w:rPr>
      </w:pPr>
      <w:r w:rsidRPr="008B369C">
        <w:rPr>
          <w:rFonts w:eastAsia="Times New Roman"/>
          <w:sz w:val="28"/>
          <w:szCs w:val="28"/>
        </w:rPr>
        <w:t>1.3. Пункт 17 изложить в следующей редакции:</w:t>
      </w:r>
    </w:p>
    <w:p w:rsidR="007417AA" w:rsidRPr="008B369C" w:rsidRDefault="003E5237" w:rsidP="008B369C">
      <w:pPr>
        <w:ind w:firstLine="473"/>
        <w:jc w:val="both"/>
        <w:rPr>
          <w:rFonts w:eastAsia="Times New Roman"/>
          <w:sz w:val="28"/>
          <w:szCs w:val="28"/>
        </w:rPr>
      </w:pPr>
      <w:r w:rsidRPr="008B369C">
        <w:rPr>
          <w:rFonts w:eastAsia="Times New Roman"/>
          <w:sz w:val="28"/>
          <w:szCs w:val="28"/>
        </w:rPr>
        <w:t xml:space="preserve">«17. </w:t>
      </w:r>
      <w:proofErr w:type="gramStart"/>
      <w:r w:rsidR="007417AA" w:rsidRPr="008B369C">
        <w:rPr>
          <w:rFonts w:eastAsia="Times New Roman"/>
          <w:sz w:val="28"/>
          <w:szCs w:val="28"/>
        </w:rPr>
        <w:t>Глава Администрации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в течение двадцати рабочих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 в форме постановления.</w:t>
      </w:r>
      <w:proofErr w:type="gramEnd"/>
    </w:p>
    <w:p w:rsidR="003E5237" w:rsidRDefault="007417AA" w:rsidP="008B369C">
      <w:pPr>
        <w:ind w:firstLine="473"/>
        <w:jc w:val="both"/>
        <w:rPr>
          <w:rFonts w:eastAsia="Times New Roman"/>
          <w:color w:val="000000"/>
          <w:sz w:val="28"/>
          <w:szCs w:val="28"/>
        </w:rPr>
      </w:pPr>
      <w:r w:rsidRPr="008B369C">
        <w:rPr>
          <w:rFonts w:eastAsia="Times New Roman"/>
          <w:color w:val="000000"/>
          <w:sz w:val="28"/>
          <w:szCs w:val="28"/>
        </w:rPr>
        <w:t>Основанием для отклонения документации по планировке территории, подготовленной лицами, указанными в пунктах 3 и 4 части 1.1 статьи 45 ГрК РФ, и направления ее на доработку является несоответствие такой документации требованиям, указанным в части 10 статьи 45 ГрК РФ. В иных случаях отклонение представленной такими лицами документации по планировке территории не допускается</w:t>
      </w:r>
      <w:r w:rsidR="003E5237" w:rsidRPr="008B369C">
        <w:rPr>
          <w:rFonts w:eastAsia="Times New Roman"/>
          <w:color w:val="000000"/>
          <w:sz w:val="28"/>
          <w:szCs w:val="28"/>
        </w:rPr>
        <w:t>»</w:t>
      </w:r>
      <w:r w:rsidRPr="008B369C">
        <w:rPr>
          <w:rFonts w:eastAsia="Times New Roman"/>
          <w:color w:val="000000"/>
          <w:sz w:val="28"/>
          <w:szCs w:val="28"/>
        </w:rPr>
        <w:t>.</w:t>
      </w:r>
    </w:p>
    <w:p w:rsidR="001E71CB" w:rsidRPr="00BC7225" w:rsidRDefault="001E71CB" w:rsidP="001E71CB">
      <w:pPr>
        <w:ind w:firstLine="473"/>
        <w:jc w:val="both"/>
        <w:rPr>
          <w:rFonts w:eastAsia="Times New Roman"/>
          <w:color w:val="000000"/>
          <w:sz w:val="28"/>
          <w:szCs w:val="28"/>
        </w:rPr>
      </w:pPr>
      <w:r w:rsidRPr="00BC7225">
        <w:rPr>
          <w:rFonts w:eastAsia="Times New Roman"/>
          <w:color w:val="000000"/>
          <w:sz w:val="28"/>
          <w:szCs w:val="28"/>
        </w:rPr>
        <w:t>2.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Настоящее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постановление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опубликовать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в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информационном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бюллетене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«</w:t>
      </w:r>
      <w:r w:rsidR="00D44DA9">
        <w:rPr>
          <w:rFonts w:eastAsia="Times New Roman"/>
          <w:color w:val="000000"/>
          <w:sz w:val="28"/>
          <w:szCs w:val="28"/>
        </w:rPr>
        <w:t>Виляйские ведомости</w:t>
      </w:r>
      <w:r w:rsidRPr="00BC7225">
        <w:rPr>
          <w:rFonts w:eastAsia="Times New Roman"/>
          <w:color w:val="000000"/>
          <w:sz w:val="28"/>
          <w:szCs w:val="28"/>
        </w:rPr>
        <w:t>»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разместить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на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официальном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сайте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администрации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D44DA9">
        <w:rPr>
          <w:rFonts w:eastAsia="Times New Roman"/>
          <w:color w:val="000000"/>
          <w:sz w:val="28"/>
          <w:szCs w:val="28"/>
        </w:rPr>
        <w:t>Виляйского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сельсовета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Наровчатского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района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Пензенской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области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в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информационно-телекоммуникационной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сети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«Интернет».</w:t>
      </w:r>
    </w:p>
    <w:p w:rsidR="001E71CB" w:rsidRPr="00BC7225" w:rsidRDefault="001E71CB" w:rsidP="001E71CB">
      <w:pPr>
        <w:ind w:firstLine="473"/>
        <w:jc w:val="both"/>
        <w:rPr>
          <w:rFonts w:eastAsia="Times New Roman"/>
          <w:color w:val="000000"/>
          <w:sz w:val="28"/>
          <w:szCs w:val="28"/>
        </w:rPr>
      </w:pPr>
      <w:r w:rsidRPr="00BC7225">
        <w:rPr>
          <w:rFonts w:eastAsia="Times New Roman"/>
          <w:color w:val="000000"/>
          <w:sz w:val="28"/>
          <w:szCs w:val="28"/>
        </w:rPr>
        <w:t>3.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Настоящее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постановление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вступает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в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силу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после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его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официального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опубликования.</w:t>
      </w:r>
    </w:p>
    <w:p w:rsidR="001E71CB" w:rsidRPr="00BC7225" w:rsidRDefault="001E71CB" w:rsidP="001E71CB">
      <w:pPr>
        <w:ind w:firstLine="473"/>
        <w:jc w:val="both"/>
        <w:rPr>
          <w:rFonts w:eastAsia="Times New Roman"/>
          <w:color w:val="000000"/>
          <w:sz w:val="28"/>
          <w:szCs w:val="28"/>
        </w:rPr>
      </w:pPr>
      <w:r w:rsidRPr="00BC7225">
        <w:rPr>
          <w:rFonts w:eastAsia="Times New Roman"/>
          <w:color w:val="000000"/>
          <w:sz w:val="28"/>
          <w:szCs w:val="28"/>
        </w:rPr>
        <w:t>4.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Контроль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исполнения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настоящего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постановления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возложить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на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главу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администрации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D44DA9">
        <w:rPr>
          <w:rFonts w:eastAsia="Times New Roman"/>
          <w:color w:val="000000"/>
          <w:sz w:val="28"/>
          <w:szCs w:val="28"/>
        </w:rPr>
        <w:t>Виляйского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сельсовета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Наровчатского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района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Пензенской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области.</w:t>
      </w:r>
    </w:p>
    <w:p w:rsidR="001E71CB" w:rsidRPr="00BC7225" w:rsidRDefault="001E71CB" w:rsidP="007D37D8">
      <w:pPr>
        <w:rPr>
          <w:rFonts w:eastAsia="Times New Roman"/>
          <w:color w:val="000000"/>
          <w:sz w:val="28"/>
          <w:szCs w:val="28"/>
        </w:rPr>
      </w:pPr>
    </w:p>
    <w:p w:rsidR="001E71CB" w:rsidRPr="00BC7225" w:rsidRDefault="001E71CB" w:rsidP="001E71CB">
      <w:pPr>
        <w:ind w:firstLine="473"/>
        <w:rPr>
          <w:rFonts w:eastAsia="Times New Roman"/>
          <w:color w:val="000000"/>
          <w:sz w:val="28"/>
          <w:szCs w:val="28"/>
        </w:rPr>
      </w:pPr>
      <w:r w:rsidRPr="00BC7225">
        <w:rPr>
          <w:rFonts w:eastAsia="Times New Roman"/>
          <w:color w:val="000000"/>
          <w:sz w:val="28"/>
          <w:szCs w:val="28"/>
        </w:rPr>
        <w:t>Глава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администрации</w:t>
      </w:r>
    </w:p>
    <w:p w:rsidR="001E71CB" w:rsidRPr="00BC7225" w:rsidRDefault="00D44DA9" w:rsidP="001E71CB">
      <w:pPr>
        <w:ind w:firstLine="473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Виляйского</w:t>
      </w:r>
      <w:r w:rsidR="001E71CB">
        <w:rPr>
          <w:rFonts w:eastAsia="Times New Roman"/>
          <w:color w:val="000000"/>
          <w:sz w:val="28"/>
          <w:szCs w:val="28"/>
        </w:rPr>
        <w:t xml:space="preserve"> </w:t>
      </w:r>
      <w:r w:rsidR="001E71CB" w:rsidRPr="00BC7225">
        <w:rPr>
          <w:rFonts w:eastAsia="Times New Roman"/>
          <w:color w:val="000000"/>
          <w:sz w:val="28"/>
          <w:szCs w:val="28"/>
        </w:rPr>
        <w:t>сельсовета</w:t>
      </w:r>
    </w:p>
    <w:p w:rsidR="001E71CB" w:rsidRPr="00BC7225" w:rsidRDefault="001E71CB" w:rsidP="001E71CB">
      <w:pPr>
        <w:ind w:firstLine="473"/>
        <w:rPr>
          <w:rFonts w:eastAsia="Times New Roman"/>
          <w:color w:val="000000"/>
          <w:sz w:val="28"/>
          <w:szCs w:val="28"/>
        </w:rPr>
      </w:pPr>
      <w:r w:rsidRPr="00BC7225">
        <w:rPr>
          <w:rFonts w:eastAsia="Times New Roman"/>
          <w:color w:val="000000"/>
          <w:sz w:val="28"/>
          <w:szCs w:val="28"/>
        </w:rPr>
        <w:t>Наровчатского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района</w:t>
      </w:r>
    </w:p>
    <w:p w:rsidR="00991F29" w:rsidRPr="008B369C" w:rsidRDefault="001E71CB" w:rsidP="00D44DA9">
      <w:pPr>
        <w:ind w:firstLine="473"/>
        <w:rPr>
          <w:sz w:val="28"/>
          <w:szCs w:val="28"/>
        </w:rPr>
      </w:pPr>
      <w:r w:rsidRPr="00BC7225">
        <w:rPr>
          <w:rFonts w:eastAsia="Times New Roman"/>
          <w:color w:val="000000"/>
          <w:sz w:val="28"/>
          <w:szCs w:val="28"/>
        </w:rPr>
        <w:t>Пензенской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BC7225">
        <w:rPr>
          <w:rFonts w:eastAsia="Times New Roman"/>
          <w:color w:val="000000"/>
          <w:sz w:val="28"/>
          <w:szCs w:val="28"/>
        </w:rPr>
        <w:t>области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ab/>
      </w:r>
      <w:r w:rsidR="00D44DA9">
        <w:rPr>
          <w:rFonts w:eastAsia="Times New Roman"/>
          <w:color w:val="000000"/>
          <w:sz w:val="28"/>
          <w:szCs w:val="28"/>
        </w:rPr>
        <w:t>Л.А. Свищева</w:t>
      </w:r>
    </w:p>
    <w:sectPr w:rsidR="00991F29" w:rsidRPr="008B369C" w:rsidSect="00DC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B2F"/>
    <w:rsid w:val="00007A64"/>
    <w:rsid w:val="001431F7"/>
    <w:rsid w:val="00197649"/>
    <w:rsid w:val="001B6C1C"/>
    <w:rsid w:val="001E71CB"/>
    <w:rsid w:val="001F6973"/>
    <w:rsid w:val="00251020"/>
    <w:rsid w:val="00260820"/>
    <w:rsid w:val="002623F5"/>
    <w:rsid w:val="00271488"/>
    <w:rsid w:val="0027419A"/>
    <w:rsid w:val="00312052"/>
    <w:rsid w:val="00343842"/>
    <w:rsid w:val="003513C8"/>
    <w:rsid w:val="003B7B2F"/>
    <w:rsid w:val="003E5237"/>
    <w:rsid w:val="00447912"/>
    <w:rsid w:val="004F104C"/>
    <w:rsid w:val="00563D27"/>
    <w:rsid w:val="005A0668"/>
    <w:rsid w:val="00606318"/>
    <w:rsid w:val="006A0444"/>
    <w:rsid w:val="006E2513"/>
    <w:rsid w:val="007417AA"/>
    <w:rsid w:val="00743CF9"/>
    <w:rsid w:val="00772420"/>
    <w:rsid w:val="007D37D8"/>
    <w:rsid w:val="008277A3"/>
    <w:rsid w:val="008A7720"/>
    <w:rsid w:val="008B369C"/>
    <w:rsid w:val="00991F29"/>
    <w:rsid w:val="00A04607"/>
    <w:rsid w:val="00A20DAB"/>
    <w:rsid w:val="00A50456"/>
    <w:rsid w:val="00BC3E20"/>
    <w:rsid w:val="00C21BDD"/>
    <w:rsid w:val="00C44615"/>
    <w:rsid w:val="00C711E2"/>
    <w:rsid w:val="00C9254D"/>
    <w:rsid w:val="00CA37D1"/>
    <w:rsid w:val="00CA6CEF"/>
    <w:rsid w:val="00CB2CCE"/>
    <w:rsid w:val="00D44DA9"/>
    <w:rsid w:val="00DC3F98"/>
    <w:rsid w:val="00DF3BE8"/>
    <w:rsid w:val="00E33117"/>
    <w:rsid w:val="00E45320"/>
    <w:rsid w:val="00EA2D73"/>
    <w:rsid w:val="00EA737C"/>
    <w:rsid w:val="00F025D5"/>
    <w:rsid w:val="00F56F27"/>
    <w:rsid w:val="00F90440"/>
    <w:rsid w:val="00FC5C8D"/>
    <w:rsid w:val="00FF0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14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B7B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7B2F"/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a3">
    <w:name w:val="Body Text"/>
    <w:basedOn w:val="a"/>
    <w:link w:val="a4"/>
    <w:rsid w:val="003B7B2F"/>
    <w:pPr>
      <w:spacing w:after="120"/>
    </w:pPr>
  </w:style>
  <w:style w:type="character" w:customStyle="1" w:styleId="a4">
    <w:name w:val="Основной текст Знак"/>
    <w:basedOn w:val="a0"/>
    <w:link w:val="a3"/>
    <w:rsid w:val="003B7B2F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a5">
    <w:name w:val="Hyperlink"/>
    <w:basedOn w:val="a0"/>
    <w:rsid w:val="003B7B2F"/>
    <w:rPr>
      <w:color w:val="0000FF"/>
      <w:u w:val="none"/>
    </w:rPr>
  </w:style>
  <w:style w:type="paragraph" w:customStyle="1" w:styleId="Title">
    <w:name w:val="Title!Название НПА"/>
    <w:basedOn w:val="a"/>
    <w:rsid w:val="00260820"/>
    <w:pPr>
      <w:widowControl/>
      <w:suppressAutoHyphens w:val="0"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E45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1488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2020-01-31T11:37:00Z</cp:lastPrinted>
  <dcterms:created xsi:type="dcterms:W3CDTF">2020-01-30T06:53:00Z</dcterms:created>
  <dcterms:modified xsi:type="dcterms:W3CDTF">2020-02-04T06:32:00Z</dcterms:modified>
</cp:coreProperties>
</file>